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067"/>
        <w:gridCol w:w="37"/>
        <w:gridCol w:w="48"/>
        <w:gridCol w:w="7346"/>
        <w:gridCol w:w="284"/>
      </w:tblGrid>
      <w:tr w:rsidR="00D9435B" w:rsidRPr="002E5375" w14:paraId="16855755" w14:textId="77777777" w:rsidTr="00F240D6">
        <w:trPr>
          <w:gridAfter w:val="1"/>
          <w:wAfter w:w="284" w:type="dxa"/>
          <w:trHeight w:hRule="exact" w:val="113"/>
        </w:trPr>
        <w:tc>
          <w:tcPr>
            <w:tcW w:w="9583" w:type="dxa"/>
            <w:gridSpan w:val="5"/>
            <w:tcBorders>
              <w:top w:val="single" w:sz="4" w:space="0" w:color="000000"/>
              <w:left w:val="nil"/>
              <w:bottom w:val="nil"/>
              <w:right w:val="nil"/>
            </w:tcBorders>
          </w:tcPr>
          <w:p w14:paraId="2BB6952B" w14:textId="77777777" w:rsidR="00D9435B" w:rsidRPr="002E5375" w:rsidRDefault="00D9435B" w:rsidP="00196D5B">
            <w:pPr>
              <w:tabs>
                <w:tab w:val="left" w:pos="1701"/>
              </w:tabs>
              <w:rPr>
                <w:rFonts w:cs="Arial"/>
                <w:b/>
                <w:color w:val="0000FF"/>
                <w:sz w:val="16"/>
                <w:szCs w:val="16"/>
              </w:rPr>
            </w:pPr>
          </w:p>
        </w:tc>
      </w:tr>
      <w:tr w:rsidR="00D9435B" w:rsidRPr="00D21604" w14:paraId="136CD437" w14:textId="77777777" w:rsidTr="00F240D6">
        <w:trPr>
          <w:gridAfter w:val="1"/>
          <w:wAfter w:w="284" w:type="dxa"/>
          <w:trHeight w:val="140"/>
        </w:trPr>
        <w:tc>
          <w:tcPr>
            <w:tcW w:w="2152" w:type="dxa"/>
            <w:gridSpan w:val="2"/>
            <w:tcBorders>
              <w:top w:val="nil"/>
              <w:left w:val="nil"/>
              <w:bottom w:val="nil"/>
              <w:right w:val="nil"/>
            </w:tcBorders>
            <w:vAlign w:val="center"/>
          </w:tcPr>
          <w:p w14:paraId="3E7816FA"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201652A2" w14:textId="4C379EEC" w:rsidR="00D9435B" w:rsidRPr="00F240D6" w:rsidRDefault="00B948AC" w:rsidP="00B948AC">
            <w:pPr>
              <w:rPr>
                <w:rFonts w:ascii="Arial" w:hAnsi="Arial" w:cs="Arial"/>
                <w:b/>
                <w:bCs/>
                <w:sz w:val="36"/>
                <w:szCs w:val="36"/>
              </w:rPr>
            </w:pPr>
            <w:r>
              <w:rPr>
                <w:rFonts w:ascii="Arial" w:hAnsi="Arial" w:cs="Arial"/>
                <w:b/>
                <w:bCs/>
                <w:sz w:val="36"/>
                <w:szCs w:val="36"/>
              </w:rPr>
              <w:t xml:space="preserve">        </w:t>
            </w:r>
            <w:r w:rsidRPr="00F56077">
              <w:rPr>
                <w:rFonts w:ascii="Arial" w:hAnsi="Arial" w:cs="Arial"/>
                <w:b/>
                <w:smallCaps/>
                <w:sz w:val="36"/>
                <w:szCs w:val="40"/>
              </w:rPr>
              <w:t>Liaison Statement</w:t>
            </w:r>
          </w:p>
        </w:tc>
      </w:tr>
      <w:tr w:rsidR="00911477" w:rsidRPr="002E5375" w14:paraId="315329DF" w14:textId="77777777" w:rsidTr="00F240D6">
        <w:trPr>
          <w:gridBefore w:val="1"/>
          <w:wBefore w:w="85" w:type="dxa"/>
          <w:trHeight w:val="68"/>
        </w:trPr>
        <w:tc>
          <w:tcPr>
            <w:tcW w:w="9782" w:type="dxa"/>
            <w:gridSpan w:val="5"/>
            <w:tcBorders>
              <w:top w:val="nil"/>
              <w:left w:val="nil"/>
              <w:bottom w:val="single" w:sz="4" w:space="0" w:color="auto"/>
              <w:right w:val="nil"/>
            </w:tcBorders>
          </w:tcPr>
          <w:p w14:paraId="55F19E4F" w14:textId="435D34E7" w:rsidR="00911477" w:rsidRPr="00F56077" w:rsidRDefault="00911477" w:rsidP="007F05C7">
            <w:pPr>
              <w:ind w:left="57"/>
              <w:jc w:val="center"/>
              <w:outlineLvl w:val="0"/>
              <w:rPr>
                <w:rFonts w:cs="Arial"/>
                <w:b/>
                <w:color w:val="0000FF"/>
                <w:sz w:val="16"/>
                <w:szCs w:val="16"/>
              </w:rPr>
            </w:pPr>
          </w:p>
        </w:tc>
      </w:tr>
      <w:tr w:rsidR="00911477" w:rsidRPr="00DE4DB9" w14:paraId="150F509D" w14:textId="77777777" w:rsidTr="00F240D6">
        <w:trPr>
          <w:gridBefore w:val="1"/>
          <w:wBefore w:w="85" w:type="dxa"/>
        </w:trPr>
        <w:tc>
          <w:tcPr>
            <w:tcW w:w="2152" w:type="dxa"/>
            <w:gridSpan w:val="3"/>
            <w:tcBorders>
              <w:top w:val="single" w:sz="4" w:space="0" w:color="auto"/>
              <w:left w:val="nil"/>
              <w:bottom w:val="nil"/>
              <w:right w:val="nil"/>
            </w:tcBorders>
          </w:tcPr>
          <w:p w14:paraId="5E7A1C7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3C20E0D0" w14:textId="2F4BDEC0" w:rsidR="00A60B45" w:rsidRPr="00FD26A2" w:rsidRDefault="00A60B45" w:rsidP="00A60B45">
            <w:pPr>
              <w:ind w:left="57"/>
              <w:rPr>
                <w:rFonts w:ascii="Arial" w:hAnsi="Arial" w:cs="Arial"/>
                <w:b/>
                <w:color w:val="0000FF"/>
                <w:sz w:val="28"/>
                <w:szCs w:val="28"/>
              </w:rPr>
            </w:pPr>
            <w:r w:rsidRPr="00FD26A2">
              <w:rPr>
                <w:rFonts w:ascii="Arial" w:hAnsi="Arial" w:cs="Arial"/>
                <w:b/>
                <w:color w:val="0000FF"/>
                <w:sz w:val="28"/>
                <w:szCs w:val="28"/>
              </w:rPr>
              <w:t xml:space="preserve">Liaison </w:t>
            </w:r>
            <w:r>
              <w:rPr>
                <w:rFonts w:ascii="Arial" w:hAnsi="Arial" w:cs="Arial"/>
                <w:b/>
                <w:color w:val="0000FF"/>
                <w:sz w:val="28"/>
                <w:szCs w:val="28"/>
              </w:rPr>
              <w:t xml:space="preserve">Statement announcing publication of </w:t>
            </w:r>
            <w:r w:rsidRPr="00FF4421">
              <w:rPr>
                <w:rFonts w:ascii="Arial" w:hAnsi="Arial" w:cs="Arial"/>
                <w:b/>
                <w:bCs/>
                <w:color w:val="0000FF"/>
                <w:sz w:val="28"/>
                <w:szCs w:val="28"/>
              </w:rPr>
              <w:t>IPE</w:t>
            </w:r>
            <w:r>
              <w:rPr>
                <w:rFonts w:ascii="Arial" w:hAnsi="Arial" w:cs="Arial"/>
                <w:b/>
                <w:bCs/>
                <w:color w:val="0000FF"/>
                <w:sz w:val="28"/>
                <w:szCs w:val="28"/>
              </w:rPr>
              <w:t>-012</w:t>
            </w:r>
            <w:r w:rsidRPr="00FF4421">
              <w:rPr>
                <w:rFonts w:ascii="Arial" w:hAnsi="Arial" w:cs="Arial"/>
                <w:b/>
                <w:bCs/>
                <w:color w:val="0000FF"/>
                <w:sz w:val="28"/>
                <w:szCs w:val="28"/>
              </w:rPr>
              <w:t>:</w:t>
            </w:r>
          </w:p>
          <w:p w14:paraId="0DA1D905" w14:textId="545D62EE" w:rsidR="00911477" w:rsidRPr="00DE4DB9" w:rsidRDefault="00A60B45" w:rsidP="00A60B45">
            <w:pPr>
              <w:ind w:left="57"/>
              <w:rPr>
                <w:rFonts w:ascii="Arial" w:hAnsi="Arial" w:cs="Arial"/>
                <w:sz w:val="36"/>
                <w:szCs w:val="24"/>
              </w:rPr>
            </w:pPr>
            <w:r w:rsidRPr="001A62A1">
              <w:rPr>
                <w:rFonts w:ascii="Arial" w:hAnsi="Arial" w:cs="Arial"/>
                <w:b/>
                <w:color w:val="0000FF"/>
                <w:sz w:val="28"/>
                <w:szCs w:val="28"/>
              </w:rPr>
              <w:t xml:space="preserve">IPv6 based </w:t>
            </w:r>
            <w:r>
              <w:rPr>
                <w:rFonts w:ascii="Arial" w:hAnsi="Arial" w:cs="Arial"/>
                <w:b/>
                <w:color w:val="0000FF"/>
                <w:sz w:val="28"/>
                <w:szCs w:val="28"/>
              </w:rPr>
              <w:t>Blockchain</w:t>
            </w:r>
          </w:p>
        </w:tc>
      </w:tr>
      <w:tr w:rsidR="00911477" w:rsidRPr="002A36EA" w14:paraId="37DC0393" w14:textId="77777777" w:rsidTr="00F240D6">
        <w:trPr>
          <w:gridBefore w:val="1"/>
          <w:wBefore w:w="85" w:type="dxa"/>
        </w:trPr>
        <w:tc>
          <w:tcPr>
            <w:tcW w:w="2152" w:type="dxa"/>
            <w:gridSpan w:val="3"/>
            <w:tcBorders>
              <w:top w:val="nil"/>
              <w:left w:val="nil"/>
              <w:bottom w:val="nil"/>
              <w:right w:val="nil"/>
            </w:tcBorders>
          </w:tcPr>
          <w:p w14:paraId="6E23319F" w14:textId="77777777" w:rsidR="00A60B45" w:rsidRDefault="00A60B45" w:rsidP="007F05C7">
            <w:pPr>
              <w:tabs>
                <w:tab w:val="left" w:pos="1701"/>
              </w:tabs>
              <w:ind w:left="57"/>
              <w:jc w:val="right"/>
              <w:rPr>
                <w:rFonts w:asciiTheme="minorHAnsi" w:hAnsiTheme="minorHAnsi" w:cstheme="minorHAnsi"/>
              </w:rPr>
            </w:pPr>
          </w:p>
          <w:p w14:paraId="07944891" w14:textId="7DC0F27A"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14:paraId="737F8291" w14:textId="77777777" w:rsidR="00A60B45" w:rsidRDefault="00A60B45" w:rsidP="007F05C7">
            <w:pPr>
              <w:ind w:left="57"/>
              <w:rPr>
                <w:rFonts w:ascii="Arial" w:hAnsi="Arial" w:cs="Arial"/>
              </w:rPr>
            </w:pPr>
          </w:p>
          <w:p w14:paraId="5EB0989F" w14:textId="225D61D9" w:rsidR="00911477" w:rsidRPr="00911477" w:rsidRDefault="00A60B45" w:rsidP="007F05C7">
            <w:pPr>
              <w:ind w:left="57"/>
              <w:rPr>
                <w:rFonts w:ascii="Arial" w:hAnsi="Arial" w:cs="Arial"/>
              </w:rPr>
            </w:pPr>
            <w:r>
              <w:rPr>
                <w:rFonts w:ascii="Arial" w:hAnsi="Arial" w:cs="Arial"/>
              </w:rPr>
              <w:t>2022-09-01</w:t>
            </w:r>
          </w:p>
        </w:tc>
      </w:tr>
      <w:tr w:rsidR="00911477" w:rsidRPr="00D21604" w14:paraId="560458B7" w14:textId="77777777" w:rsidTr="00F240D6">
        <w:trPr>
          <w:gridBefore w:val="1"/>
          <w:wBefore w:w="85" w:type="dxa"/>
          <w:trHeight w:val="140"/>
        </w:trPr>
        <w:tc>
          <w:tcPr>
            <w:tcW w:w="2152" w:type="dxa"/>
            <w:gridSpan w:val="3"/>
            <w:tcBorders>
              <w:top w:val="nil"/>
              <w:left w:val="nil"/>
              <w:bottom w:val="nil"/>
              <w:right w:val="nil"/>
            </w:tcBorders>
            <w:vAlign w:val="center"/>
          </w:tcPr>
          <w:p w14:paraId="0E81E2E4"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27E9F90E" w14:textId="77777777" w:rsidR="00911477" w:rsidRPr="00911477" w:rsidRDefault="00911477" w:rsidP="007F05C7">
            <w:pPr>
              <w:ind w:left="57"/>
              <w:rPr>
                <w:rFonts w:ascii="Arial" w:hAnsi="Arial" w:cs="Arial"/>
                <w:sz w:val="16"/>
              </w:rPr>
            </w:pPr>
          </w:p>
        </w:tc>
      </w:tr>
      <w:tr w:rsidR="00911477" w:rsidRPr="00DE4DB9" w14:paraId="1C47D238" w14:textId="77777777" w:rsidTr="00F240D6">
        <w:trPr>
          <w:gridBefore w:val="1"/>
          <w:wBefore w:w="85" w:type="dxa"/>
        </w:trPr>
        <w:tc>
          <w:tcPr>
            <w:tcW w:w="2152" w:type="dxa"/>
            <w:gridSpan w:val="3"/>
            <w:tcBorders>
              <w:top w:val="nil"/>
              <w:left w:val="nil"/>
              <w:bottom w:val="nil"/>
              <w:right w:val="nil"/>
            </w:tcBorders>
            <w:vAlign w:val="center"/>
          </w:tcPr>
          <w:p w14:paraId="7FCC3B05"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59012726" w14:textId="36112F75" w:rsidR="00911477" w:rsidRPr="00DE4DB9" w:rsidRDefault="00575432" w:rsidP="007F05C7">
            <w:pPr>
              <w:ind w:left="57"/>
              <w:rPr>
                <w:rFonts w:ascii="Arial" w:hAnsi="Arial" w:cs="Arial"/>
                <w:sz w:val="28"/>
                <w:szCs w:val="28"/>
              </w:rPr>
            </w:pPr>
            <w:r>
              <w:rPr>
                <w:rFonts w:ascii="Arial" w:hAnsi="Arial" w:cs="Arial"/>
                <w:color w:val="0000FF"/>
                <w:sz w:val="28"/>
                <w:szCs w:val="28"/>
              </w:rPr>
              <w:t>ETSI ISG IPE</w:t>
            </w:r>
          </w:p>
        </w:tc>
      </w:tr>
      <w:tr w:rsidR="00911477" w:rsidRPr="008C3FF0" w14:paraId="6DF6FF70" w14:textId="77777777" w:rsidTr="00F240D6">
        <w:trPr>
          <w:gridBefore w:val="1"/>
          <w:wBefore w:w="85" w:type="dxa"/>
        </w:trPr>
        <w:tc>
          <w:tcPr>
            <w:tcW w:w="2152" w:type="dxa"/>
            <w:gridSpan w:val="3"/>
            <w:tcBorders>
              <w:top w:val="nil"/>
              <w:left w:val="nil"/>
              <w:bottom w:val="nil"/>
              <w:right w:val="nil"/>
            </w:tcBorders>
            <w:vAlign w:val="center"/>
          </w:tcPr>
          <w:p w14:paraId="0A587A0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14:paraId="7B43A0CF" w14:textId="77777777" w:rsidR="00575432" w:rsidRDefault="00575432" w:rsidP="00575432">
            <w:pPr>
              <w:ind w:left="57"/>
              <w:rPr>
                <w:rFonts w:ascii="Arial" w:hAnsi="Arial" w:cs="Arial"/>
                <w:sz w:val="24"/>
                <w:szCs w:val="24"/>
              </w:rPr>
            </w:pPr>
          </w:p>
          <w:p w14:paraId="42308366" w14:textId="70740F57" w:rsidR="00575432" w:rsidRDefault="00000000" w:rsidP="00575432">
            <w:pPr>
              <w:ind w:left="57"/>
              <w:rPr>
                <w:rFonts w:ascii="Arial" w:hAnsi="Arial" w:cs="Arial"/>
                <w:sz w:val="24"/>
                <w:szCs w:val="24"/>
              </w:rPr>
            </w:pPr>
            <w:hyperlink r:id="rId8" w:history="1">
              <w:r w:rsidR="00575432" w:rsidRPr="00835223">
                <w:rPr>
                  <w:rStyle w:val="Hyperlink"/>
                  <w:rFonts w:ascii="Arial" w:hAnsi="Arial" w:cs="Arial"/>
                  <w:sz w:val="24"/>
                  <w:szCs w:val="24"/>
                </w:rPr>
                <w:t>latif.ladid@uni.lu</w:t>
              </w:r>
            </w:hyperlink>
            <w:r w:rsidR="00575432" w:rsidRPr="009F6811">
              <w:t>;</w:t>
            </w:r>
            <w:r w:rsidR="00575432">
              <w:t xml:space="preserve"> </w:t>
            </w:r>
            <w:r w:rsidR="00575432" w:rsidRPr="009F6811">
              <w:rPr>
                <w:rFonts w:ascii="Arial" w:hAnsi="Arial" w:cs="Arial"/>
                <w:sz w:val="24"/>
                <w:szCs w:val="24"/>
              </w:rPr>
              <w:t>Lati</w:t>
            </w:r>
            <w:r w:rsidR="00A60B45">
              <w:rPr>
                <w:rFonts w:ascii="Arial" w:hAnsi="Arial" w:cs="Arial"/>
                <w:sz w:val="24"/>
                <w:szCs w:val="24"/>
              </w:rPr>
              <w:t>f</w:t>
            </w:r>
            <w:r w:rsidR="00575432" w:rsidRPr="009F6811">
              <w:rPr>
                <w:rFonts w:ascii="Arial" w:hAnsi="Arial" w:cs="Arial"/>
                <w:sz w:val="24"/>
                <w:szCs w:val="24"/>
              </w:rPr>
              <w:t xml:space="preserve"> Ladid, ISG Chair,</w:t>
            </w:r>
          </w:p>
          <w:p w14:paraId="0730BCEE" w14:textId="09F7FC08" w:rsidR="008C3FF0" w:rsidRPr="002236CE" w:rsidRDefault="00000000" w:rsidP="008C3FF0">
            <w:pPr>
              <w:ind w:left="57"/>
              <w:rPr>
                <w:sz w:val="24"/>
                <w:szCs w:val="24"/>
                <w:lang w:val="fr-CH"/>
              </w:rPr>
            </w:pPr>
            <w:hyperlink r:id="rId9" w:history="1">
              <w:r w:rsidR="008C3FF0" w:rsidRPr="00835223">
                <w:rPr>
                  <w:rStyle w:val="Hyperlink"/>
                  <w:rFonts w:ascii="Arial" w:hAnsi="Arial" w:cs="Arial"/>
                  <w:sz w:val="24"/>
                  <w:szCs w:val="24"/>
                  <w:lang w:val="fr-CH"/>
                </w:rPr>
                <w:t>j.davies@nchain.com</w:t>
              </w:r>
            </w:hyperlink>
            <w:r w:rsidR="008C3FF0">
              <w:rPr>
                <w:rFonts w:ascii="Arial" w:hAnsi="Arial" w:cs="Arial"/>
                <w:sz w:val="24"/>
                <w:szCs w:val="24"/>
                <w:lang w:val="fr-CH"/>
              </w:rPr>
              <w:t xml:space="preserve">  </w:t>
            </w:r>
            <w:r w:rsidR="008C3FF0" w:rsidRPr="002236CE">
              <w:rPr>
                <w:rFonts w:ascii="Arial" w:hAnsi="Arial" w:cs="Arial"/>
                <w:sz w:val="24"/>
                <w:szCs w:val="24"/>
                <w:lang w:val="fr-CH"/>
              </w:rPr>
              <w:t>Jack Davies Rapporteur, nChain</w:t>
            </w:r>
          </w:p>
          <w:p w14:paraId="5A2DB2A0" w14:textId="6FE67172" w:rsidR="00575432" w:rsidRPr="009F6811" w:rsidRDefault="00000000" w:rsidP="00575432">
            <w:pPr>
              <w:rPr>
                <w:rFonts w:ascii="Arial" w:hAnsi="Arial" w:cs="Arial"/>
                <w:sz w:val="24"/>
                <w:lang w:val="fr-FR"/>
              </w:rPr>
            </w:pPr>
            <w:hyperlink r:id="rId10" w:history="1">
              <w:r w:rsidR="008C3FF0" w:rsidRPr="00835223">
                <w:rPr>
                  <w:rStyle w:val="Hyperlink"/>
                  <w:rFonts w:ascii="Arial" w:hAnsi="Arial" w:cs="Arial"/>
                  <w:sz w:val="24"/>
                  <w:lang w:val="fr-FR"/>
                </w:rPr>
                <w:t>ISGsupport@etsi.org</w:t>
              </w:r>
            </w:hyperlink>
            <w:r w:rsidR="00575432">
              <w:rPr>
                <w:rStyle w:val="Hyperlink"/>
                <w:rFonts w:ascii="Arial" w:hAnsi="Arial" w:cs="Arial"/>
                <w:sz w:val="24"/>
                <w:lang w:val="fr-FR"/>
              </w:rPr>
              <w:t>;</w:t>
            </w:r>
            <w:r w:rsidR="00575432" w:rsidRPr="009F6811">
              <w:rPr>
                <w:rStyle w:val="Hyperlink"/>
                <w:rFonts w:ascii="Arial" w:hAnsi="Arial" w:cs="Arial"/>
                <w:sz w:val="24"/>
                <w:lang w:val="fr-FR"/>
              </w:rPr>
              <w:t xml:space="preserve"> </w:t>
            </w:r>
            <w:r w:rsidR="00575432" w:rsidRPr="009F6811">
              <w:rPr>
                <w:rStyle w:val="Hyperlink"/>
                <w:rFonts w:ascii="Arial" w:hAnsi="Arial" w:cs="Arial"/>
                <w:color w:val="auto"/>
                <w:sz w:val="24"/>
                <w:lang w:val="fr-FR"/>
              </w:rPr>
              <w:t>Louise Clarke</w:t>
            </w:r>
          </w:p>
          <w:p w14:paraId="7F4DFD2F" w14:textId="38E51A20" w:rsidR="00911477" w:rsidRPr="008C3FF0" w:rsidRDefault="00911477" w:rsidP="007F05C7">
            <w:pPr>
              <w:ind w:left="57"/>
              <w:rPr>
                <w:rFonts w:ascii="Arial" w:hAnsi="Arial" w:cs="Arial"/>
                <w:sz w:val="24"/>
                <w:lang w:val="fr-CH"/>
              </w:rPr>
            </w:pPr>
          </w:p>
        </w:tc>
      </w:tr>
      <w:tr w:rsidR="00911477" w:rsidRPr="008C3FF0" w14:paraId="00CA0713" w14:textId="77777777" w:rsidTr="00F240D6">
        <w:trPr>
          <w:gridBefore w:val="1"/>
          <w:wBefore w:w="85" w:type="dxa"/>
        </w:trPr>
        <w:tc>
          <w:tcPr>
            <w:tcW w:w="2152" w:type="dxa"/>
            <w:gridSpan w:val="3"/>
            <w:tcBorders>
              <w:top w:val="nil"/>
              <w:left w:val="nil"/>
              <w:bottom w:val="nil"/>
              <w:right w:val="nil"/>
            </w:tcBorders>
            <w:vAlign w:val="center"/>
          </w:tcPr>
          <w:p w14:paraId="37B26632" w14:textId="77777777" w:rsidR="00911477" w:rsidRPr="008C3FF0" w:rsidRDefault="00911477" w:rsidP="007F05C7">
            <w:pPr>
              <w:tabs>
                <w:tab w:val="left" w:pos="1701"/>
              </w:tabs>
              <w:ind w:left="57"/>
              <w:jc w:val="right"/>
              <w:rPr>
                <w:rFonts w:asciiTheme="minorHAnsi" w:hAnsiTheme="minorHAnsi" w:cstheme="minorHAnsi"/>
                <w:sz w:val="24"/>
                <w:szCs w:val="24"/>
                <w:lang w:val="fr-CH"/>
              </w:rPr>
            </w:pPr>
          </w:p>
        </w:tc>
        <w:tc>
          <w:tcPr>
            <w:tcW w:w="7630" w:type="dxa"/>
            <w:gridSpan w:val="2"/>
            <w:tcBorders>
              <w:top w:val="nil"/>
              <w:left w:val="nil"/>
              <w:bottom w:val="nil"/>
              <w:right w:val="nil"/>
            </w:tcBorders>
            <w:vAlign w:val="center"/>
          </w:tcPr>
          <w:p w14:paraId="52076567" w14:textId="77777777" w:rsidR="00911477" w:rsidRPr="008C3FF0" w:rsidRDefault="00911477" w:rsidP="007F05C7">
            <w:pPr>
              <w:ind w:left="57"/>
              <w:rPr>
                <w:rFonts w:ascii="Arial" w:hAnsi="Arial" w:cs="Arial"/>
                <w:sz w:val="24"/>
                <w:lang w:val="fr-CH"/>
              </w:rPr>
            </w:pPr>
          </w:p>
        </w:tc>
      </w:tr>
      <w:tr w:rsidR="00911477" w:rsidRPr="00DE4DB9" w14:paraId="36024D07" w14:textId="77777777" w:rsidTr="00F240D6">
        <w:trPr>
          <w:gridBefore w:val="1"/>
          <w:wBefore w:w="85" w:type="dxa"/>
        </w:trPr>
        <w:tc>
          <w:tcPr>
            <w:tcW w:w="2152" w:type="dxa"/>
            <w:gridSpan w:val="3"/>
            <w:tcBorders>
              <w:top w:val="nil"/>
              <w:left w:val="nil"/>
              <w:bottom w:val="nil"/>
              <w:right w:val="nil"/>
            </w:tcBorders>
          </w:tcPr>
          <w:p w14:paraId="617E1188"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58F53E63" w14:textId="6DDCBAD4" w:rsidR="00575432" w:rsidRPr="00686AD2" w:rsidRDefault="00575432" w:rsidP="00575432">
            <w:pPr>
              <w:spacing w:line="276" w:lineRule="auto"/>
              <w:ind w:left="57"/>
              <w:rPr>
                <w:rFonts w:ascii="Arial" w:hAnsi="Arial" w:cs="Arial"/>
              </w:rPr>
            </w:pPr>
            <w:r w:rsidRPr="00686AD2">
              <w:rPr>
                <w:rFonts w:ascii="Arial" w:hAnsi="Arial" w:cs="Arial"/>
              </w:rPr>
              <w:t>ETSI TC CABLE, TC CYBER, TC INT WG AFI, TC MSG, TC SmartM2M, TC LI, ISG NIN, ISG ENI,</w:t>
            </w:r>
            <w:r>
              <w:rPr>
                <w:rFonts w:ascii="Arial" w:hAnsi="Arial" w:cs="Arial"/>
              </w:rPr>
              <w:t xml:space="preserve"> </w:t>
            </w:r>
            <w:r w:rsidRPr="00686AD2">
              <w:rPr>
                <w:rFonts w:ascii="Arial" w:hAnsi="Arial" w:cs="Arial"/>
              </w:rPr>
              <w:t>ISG ZSM, ISG NFV,</w:t>
            </w:r>
            <w:r>
              <w:rPr>
                <w:rFonts w:ascii="Arial" w:hAnsi="Arial" w:cs="Arial"/>
              </w:rPr>
              <w:t xml:space="preserve"> </w:t>
            </w:r>
            <w:r w:rsidRPr="00686AD2">
              <w:rPr>
                <w:rFonts w:ascii="Arial" w:hAnsi="Arial" w:cs="Arial"/>
              </w:rPr>
              <w:t>ISG F5G</w:t>
            </w:r>
            <w:r>
              <w:rPr>
                <w:rFonts w:ascii="Arial" w:hAnsi="Arial" w:cs="Arial"/>
              </w:rPr>
              <w:t>, oneM2M</w:t>
            </w:r>
            <w:r w:rsidR="00E03912">
              <w:rPr>
                <w:rFonts w:ascii="Arial" w:hAnsi="Arial" w:cs="Arial"/>
              </w:rPr>
              <w:t>,</w:t>
            </w:r>
          </w:p>
          <w:p w14:paraId="53674769" w14:textId="77777777" w:rsidR="00575432" w:rsidRDefault="00575432" w:rsidP="00575432">
            <w:pPr>
              <w:tabs>
                <w:tab w:val="left" w:pos="4891"/>
              </w:tabs>
              <w:ind w:left="57"/>
              <w:rPr>
                <w:rFonts w:ascii="Arial" w:hAnsi="Arial" w:cs="Arial"/>
              </w:rPr>
            </w:pPr>
            <w:r>
              <w:rPr>
                <w:rFonts w:ascii="Arial" w:hAnsi="Arial" w:cs="Arial"/>
              </w:rPr>
              <w:t xml:space="preserve">ETSI Board, </w:t>
            </w:r>
            <w:r w:rsidRPr="00FF4421">
              <w:rPr>
                <w:rFonts w:ascii="Arial" w:hAnsi="Arial" w:cs="Arial"/>
              </w:rPr>
              <w:t>3GPP CT, 3GPP SA, 3GPP OP and 3GPP PCG</w:t>
            </w:r>
            <w:r>
              <w:rPr>
                <w:rFonts w:ascii="Arial" w:hAnsi="Arial" w:cs="Arial"/>
              </w:rPr>
              <w:t xml:space="preserve">, </w:t>
            </w:r>
          </w:p>
          <w:p w14:paraId="3C2B731E" w14:textId="77777777" w:rsidR="00575432" w:rsidRPr="00FF4421" w:rsidRDefault="00575432" w:rsidP="00575432">
            <w:pPr>
              <w:tabs>
                <w:tab w:val="left" w:pos="4891"/>
              </w:tabs>
              <w:ind w:left="57"/>
              <w:rPr>
                <w:rFonts w:ascii="Arial" w:hAnsi="Arial" w:cs="Arial"/>
              </w:rPr>
            </w:pPr>
            <w:r>
              <w:rPr>
                <w:rFonts w:ascii="Arial" w:hAnsi="Arial" w:cs="Arial"/>
              </w:rPr>
              <w:t xml:space="preserve">GAIA-X, </w:t>
            </w:r>
            <w:r w:rsidRPr="00FF4421">
              <w:rPr>
                <w:rFonts w:ascii="Arial" w:hAnsi="Arial" w:cs="Arial"/>
              </w:rPr>
              <w:t>ITU-T SG17, SG15 SG11 SG 13, ITU-T SG20</w:t>
            </w:r>
            <w:r>
              <w:rPr>
                <w:rFonts w:ascii="Arial" w:hAnsi="Arial" w:cs="Arial"/>
              </w:rPr>
              <w:t xml:space="preserve">, </w:t>
            </w:r>
            <w:r w:rsidRPr="00FF4421">
              <w:rPr>
                <w:rFonts w:ascii="Arial" w:hAnsi="Arial" w:cs="Arial"/>
              </w:rPr>
              <w:t>ISO/IEC JTC 1 SC6 WG7, GSMA, MEF, OMA</w:t>
            </w:r>
            <w:r>
              <w:rPr>
                <w:rFonts w:ascii="Arial" w:hAnsi="Arial" w:cs="Arial"/>
              </w:rPr>
              <w:t xml:space="preserve">, </w:t>
            </w:r>
            <w:r w:rsidRPr="00686AD2">
              <w:rPr>
                <w:rFonts w:ascii="Arial" w:hAnsi="Arial" w:cs="Arial"/>
              </w:rPr>
              <w:t>IEC SyC COMM</w:t>
            </w:r>
            <w:r>
              <w:rPr>
                <w:rFonts w:ascii="Arial" w:hAnsi="Arial" w:cs="Arial"/>
              </w:rPr>
              <w:t xml:space="preserve">, </w:t>
            </w:r>
          </w:p>
          <w:p w14:paraId="3C738000" w14:textId="50C4EF70" w:rsidR="00911477" w:rsidRPr="00DE4DB9" w:rsidRDefault="00575432" w:rsidP="007F05C7">
            <w:pPr>
              <w:tabs>
                <w:tab w:val="left" w:pos="4891"/>
              </w:tabs>
              <w:ind w:left="57"/>
              <w:rPr>
                <w:rFonts w:ascii="Arial" w:hAnsi="Arial" w:cs="Arial"/>
                <w:sz w:val="28"/>
              </w:rPr>
            </w:pPr>
            <w:r w:rsidRPr="00C574E7">
              <w:rPr>
                <w:rFonts w:ascii="Arial" w:hAnsi="Arial" w:cs="Arial"/>
                <w:sz w:val="22"/>
                <w:szCs w:val="16"/>
              </w:rPr>
              <w:t>European Commission, GAIA-X</w:t>
            </w:r>
          </w:p>
        </w:tc>
      </w:tr>
      <w:tr w:rsidR="00911477" w:rsidRPr="00DE4DB9" w14:paraId="26A46221" w14:textId="77777777" w:rsidTr="00F240D6">
        <w:trPr>
          <w:gridBefore w:val="1"/>
          <w:wBefore w:w="85" w:type="dxa"/>
        </w:trPr>
        <w:tc>
          <w:tcPr>
            <w:tcW w:w="2152" w:type="dxa"/>
            <w:gridSpan w:val="3"/>
            <w:tcBorders>
              <w:top w:val="nil"/>
              <w:left w:val="nil"/>
              <w:bottom w:val="nil"/>
              <w:right w:val="nil"/>
            </w:tcBorders>
          </w:tcPr>
          <w:p w14:paraId="1151D4E5"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0B611662" w14:textId="2F7D6F8C" w:rsidR="00911477" w:rsidRPr="00DE4DB9" w:rsidRDefault="00911477" w:rsidP="007F05C7">
            <w:pPr>
              <w:ind w:left="57"/>
              <w:rPr>
                <w:rFonts w:ascii="Arial" w:hAnsi="Arial" w:cs="Arial"/>
                <w:sz w:val="24"/>
                <w:szCs w:val="24"/>
              </w:rPr>
            </w:pPr>
          </w:p>
        </w:tc>
      </w:tr>
      <w:tr w:rsidR="00911477" w:rsidRPr="00F85372" w14:paraId="24E323D5" w14:textId="77777777" w:rsidTr="00F240D6">
        <w:trPr>
          <w:gridBefore w:val="1"/>
          <w:wBefore w:w="85" w:type="dxa"/>
        </w:trPr>
        <w:tc>
          <w:tcPr>
            <w:tcW w:w="2152" w:type="dxa"/>
            <w:gridSpan w:val="3"/>
            <w:tcBorders>
              <w:top w:val="nil"/>
              <w:left w:val="nil"/>
              <w:bottom w:val="nil"/>
              <w:right w:val="nil"/>
            </w:tcBorders>
          </w:tcPr>
          <w:p w14:paraId="0B554C2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6256540B" w14:textId="77777777" w:rsidR="00911477" w:rsidRPr="00911477" w:rsidRDefault="00911477" w:rsidP="007F05C7">
            <w:pPr>
              <w:ind w:left="57"/>
              <w:rPr>
                <w:rFonts w:ascii="Arial" w:hAnsi="Arial" w:cs="Arial"/>
                <w:sz w:val="16"/>
              </w:rPr>
            </w:pPr>
          </w:p>
        </w:tc>
      </w:tr>
      <w:tr w:rsidR="00911477" w:rsidRPr="002A36EA" w14:paraId="1B47455D" w14:textId="77777777" w:rsidTr="00F240D6">
        <w:trPr>
          <w:gridBefore w:val="1"/>
          <w:wBefore w:w="85" w:type="dxa"/>
        </w:trPr>
        <w:tc>
          <w:tcPr>
            <w:tcW w:w="2152" w:type="dxa"/>
            <w:gridSpan w:val="3"/>
            <w:tcBorders>
              <w:top w:val="nil"/>
              <w:left w:val="nil"/>
              <w:bottom w:val="nil"/>
              <w:right w:val="nil"/>
            </w:tcBorders>
            <w:vAlign w:val="center"/>
          </w:tcPr>
          <w:p w14:paraId="38E26331"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14:paraId="60042D35" w14:textId="4D89995D" w:rsidR="00911477" w:rsidRPr="00911477" w:rsidRDefault="00A60B45" w:rsidP="007F05C7">
            <w:pPr>
              <w:ind w:left="57"/>
              <w:rPr>
                <w:rFonts w:ascii="Arial" w:hAnsi="Arial" w:cs="Arial"/>
                <w:color w:val="0000FF"/>
              </w:rPr>
            </w:pPr>
            <w:r>
              <w:rPr>
                <w:rFonts w:ascii="Arial" w:hAnsi="Arial" w:cs="Arial"/>
                <w:color w:val="0000FF"/>
              </w:rPr>
              <w:t>N/A</w:t>
            </w:r>
          </w:p>
        </w:tc>
      </w:tr>
      <w:tr w:rsidR="00911477" w:rsidRPr="00D21604" w14:paraId="0AE6CA1A" w14:textId="77777777" w:rsidTr="00F240D6">
        <w:trPr>
          <w:gridBefore w:val="1"/>
          <w:wBefore w:w="85" w:type="dxa"/>
        </w:trPr>
        <w:tc>
          <w:tcPr>
            <w:tcW w:w="2152" w:type="dxa"/>
            <w:gridSpan w:val="3"/>
            <w:tcBorders>
              <w:top w:val="nil"/>
              <w:left w:val="nil"/>
              <w:bottom w:val="nil"/>
              <w:right w:val="nil"/>
            </w:tcBorders>
          </w:tcPr>
          <w:p w14:paraId="183CC4F9"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6E5D432B" w14:textId="77777777" w:rsidR="00911477" w:rsidRPr="00911477" w:rsidRDefault="00911477" w:rsidP="007F05C7">
            <w:pPr>
              <w:ind w:left="57"/>
              <w:rPr>
                <w:rFonts w:ascii="Arial" w:hAnsi="Arial" w:cs="Arial"/>
                <w:sz w:val="16"/>
              </w:rPr>
            </w:pPr>
          </w:p>
        </w:tc>
      </w:tr>
      <w:tr w:rsidR="00911477" w:rsidRPr="00911477" w14:paraId="7B8E532A" w14:textId="77777777" w:rsidTr="00F240D6">
        <w:trPr>
          <w:gridBefore w:val="1"/>
          <w:wBefore w:w="85" w:type="dxa"/>
        </w:trPr>
        <w:tc>
          <w:tcPr>
            <w:tcW w:w="2104" w:type="dxa"/>
            <w:gridSpan w:val="2"/>
            <w:tcBorders>
              <w:top w:val="nil"/>
              <w:left w:val="nil"/>
              <w:bottom w:val="nil"/>
              <w:right w:val="nil"/>
            </w:tcBorders>
          </w:tcPr>
          <w:p w14:paraId="52E3F620"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3"/>
            <w:tcBorders>
              <w:top w:val="nil"/>
              <w:left w:val="nil"/>
              <w:bottom w:val="nil"/>
              <w:right w:val="nil"/>
            </w:tcBorders>
          </w:tcPr>
          <w:p w14:paraId="0E6609B0" w14:textId="6E874C9B" w:rsidR="00911477" w:rsidRPr="00911477" w:rsidRDefault="00A60B45" w:rsidP="007F05C7">
            <w:pPr>
              <w:ind w:left="57"/>
              <w:rPr>
                <w:rFonts w:ascii="Arial" w:hAnsi="Arial" w:cs="Arial"/>
                <w:color w:val="0000FF"/>
              </w:rPr>
            </w:pPr>
            <w:r>
              <w:rPr>
                <w:rFonts w:ascii="Arial" w:hAnsi="Arial" w:cs="Arial"/>
                <w:color w:val="0000FF"/>
              </w:rPr>
              <w:t>N/A</w:t>
            </w:r>
          </w:p>
        </w:tc>
      </w:tr>
      <w:tr w:rsidR="00911477" w:rsidRPr="002E5375" w14:paraId="51B345C1" w14:textId="77777777" w:rsidTr="00F240D6">
        <w:trPr>
          <w:gridBefore w:val="1"/>
          <w:wBefore w:w="85" w:type="dxa"/>
        </w:trPr>
        <w:tc>
          <w:tcPr>
            <w:tcW w:w="9782" w:type="dxa"/>
            <w:gridSpan w:val="5"/>
            <w:tcBorders>
              <w:top w:val="nil"/>
              <w:left w:val="nil"/>
              <w:bottom w:val="single" w:sz="4" w:space="0" w:color="000000"/>
              <w:right w:val="nil"/>
            </w:tcBorders>
          </w:tcPr>
          <w:p w14:paraId="1E19753C" w14:textId="77777777" w:rsidR="00911477" w:rsidRPr="002E5375" w:rsidRDefault="00911477" w:rsidP="007F05C7">
            <w:pPr>
              <w:tabs>
                <w:tab w:val="left" w:pos="1701"/>
              </w:tabs>
              <w:ind w:left="57" w:firstLine="249"/>
              <w:rPr>
                <w:sz w:val="16"/>
                <w:szCs w:val="16"/>
              </w:rPr>
            </w:pPr>
          </w:p>
        </w:tc>
      </w:tr>
    </w:tbl>
    <w:p w14:paraId="6587D77A" w14:textId="77777777" w:rsidR="00911477" w:rsidRPr="00866086" w:rsidRDefault="00911477" w:rsidP="00911477"/>
    <w:p w14:paraId="27623F69" w14:textId="77777777" w:rsidR="00911477" w:rsidRPr="00FE798C" w:rsidRDefault="00911477" w:rsidP="00911477">
      <w:pPr>
        <w:spacing w:after="120"/>
        <w:rPr>
          <w:rFonts w:ascii="Arial" w:hAnsi="Arial" w:cs="Arial"/>
          <w:b/>
        </w:rPr>
      </w:pPr>
      <w:r>
        <w:rPr>
          <w:rFonts w:ascii="Arial" w:hAnsi="Arial" w:cs="Arial"/>
          <w:b/>
        </w:rPr>
        <w:t>1. Overall description:</w:t>
      </w:r>
    </w:p>
    <w:p w14:paraId="121FADF7" w14:textId="26532D85" w:rsidR="00C574E7" w:rsidRDefault="00C574E7" w:rsidP="00A60B45">
      <w:pPr>
        <w:overflowPunct/>
        <w:autoSpaceDE/>
        <w:autoSpaceDN/>
        <w:adjustRightInd/>
        <w:textAlignment w:val="auto"/>
        <w:rPr>
          <w:rFonts w:ascii="Arial" w:hAnsi="Arial" w:cs="Arial"/>
        </w:rPr>
      </w:pPr>
      <w:r w:rsidRPr="00C52DEF">
        <w:rPr>
          <w:rFonts w:ascii="Arial" w:hAnsi="Arial" w:cs="Arial"/>
        </w:rPr>
        <w:t xml:space="preserve">ISG IPE is pleased to </w:t>
      </w:r>
      <w:r w:rsidR="00A60B45" w:rsidRPr="00C52DEF">
        <w:rPr>
          <w:rFonts w:ascii="Arial" w:hAnsi="Arial" w:cs="Arial"/>
        </w:rPr>
        <w:t>announce</w:t>
      </w:r>
      <w:r w:rsidRPr="00C52DEF">
        <w:rPr>
          <w:rFonts w:ascii="Arial" w:hAnsi="Arial" w:cs="Arial"/>
        </w:rPr>
        <w:t xml:space="preserve"> the latest G</w:t>
      </w:r>
      <w:r w:rsidR="00A60B45" w:rsidRPr="00C52DEF">
        <w:rPr>
          <w:rFonts w:ascii="Arial" w:hAnsi="Arial" w:cs="Arial"/>
        </w:rPr>
        <w:t xml:space="preserve">roup </w:t>
      </w:r>
      <w:r w:rsidRPr="00C52DEF">
        <w:rPr>
          <w:rFonts w:ascii="Arial" w:hAnsi="Arial" w:cs="Arial"/>
        </w:rPr>
        <w:t>R</w:t>
      </w:r>
      <w:r w:rsidR="00A60B45" w:rsidRPr="00C52DEF">
        <w:rPr>
          <w:rFonts w:ascii="Arial" w:hAnsi="Arial" w:cs="Arial"/>
        </w:rPr>
        <w:t>eport</w:t>
      </w:r>
      <w:r w:rsidRPr="00C52DEF">
        <w:rPr>
          <w:rFonts w:ascii="Arial" w:hAnsi="Arial" w:cs="Arial"/>
        </w:rPr>
        <w:t xml:space="preserve"> </w:t>
      </w:r>
      <w:r w:rsidR="00A60B45" w:rsidRPr="00C52DEF">
        <w:rPr>
          <w:rFonts w:ascii="Arial" w:hAnsi="Arial" w:cs="Arial"/>
        </w:rPr>
        <w:t>(ETSI GR IPE 012)</w:t>
      </w:r>
      <w:r w:rsidRPr="00C52DEF">
        <w:rPr>
          <w:rFonts w:ascii="Arial" w:hAnsi="Arial" w:cs="Arial"/>
        </w:rPr>
        <w:t xml:space="preserve"> on “IPv6 based Blockchain” published </w:t>
      </w:r>
      <w:r w:rsidR="00A60B45" w:rsidRPr="00C52DEF">
        <w:rPr>
          <w:rFonts w:ascii="Arial" w:hAnsi="Arial" w:cs="Arial"/>
        </w:rPr>
        <w:t>this</w:t>
      </w:r>
      <w:r w:rsidRPr="00C52DEF">
        <w:rPr>
          <w:rFonts w:ascii="Arial" w:hAnsi="Arial" w:cs="Arial"/>
        </w:rPr>
        <w:t xml:space="preserve"> </w:t>
      </w:r>
      <w:r w:rsidRPr="00C52DEF">
        <w:rPr>
          <w:rFonts w:ascii="Arial" w:eastAsia="SimSun" w:hAnsi="Arial" w:cs="Arial"/>
          <w:lang w:eastAsia="zh-CN"/>
        </w:rPr>
        <w:t xml:space="preserve">August </w:t>
      </w:r>
      <w:r w:rsidRPr="00C52DEF">
        <w:rPr>
          <w:rFonts w:ascii="Arial" w:hAnsi="Arial" w:cs="Arial"/>
        </w:rPr>
        <w:t>and believe that this could be of interest to your committee</w:t>
      </w:r>
      <w:r w:rsidR="00A60B45" w:rsidRPr="00C52DEF">
        <w:rPr>
          <w:rFonts w:ascii="Arial" w:hAnsi="Arial" w:cs="Arial"/>
        </w:rPr>
        <w:t>:</w:t>
      </w:r>
    </w:p>
    <w:p w14:paraId="600603A2" w14:textId="61C64028" w:rsidR="00CA79C5" w:rsidRDefault="00CA79C5" w:rsidP="00A60B45">
      <w:pPr>
        <w:overflowPunct/>
        <w:autoSpaceDE/>
        <w:autoSpaceDN/>
        <w:adjustRightInd/>
        <w:textAlignment w:val="auto"/>
        <w:rPr>
          <w:rFonts w:ascii="Arial" w:hAnsi="Arial" w:cs="Arial"/>
        </w:rPr>
      </w:pPr>
    </w:p>
    <w:p w14:paraId="0D98245D" w14:textId="55429E24" w:rsidR="00CA79C5" w:rsidRDefault="00000000" w:rsidP="00A60B45">
      <w:pPr>
        <w:overflowPunct/>
        <w:autoSpaceDE/>
        <w:autoSpaceDN/>
        <w:adjustRightInd/>
        <w:textAlignment w:val="auto"/>
        <w:rPr>
          <w:rFonts w:ascii="Arial" w:hAnsi="Arial" w:cs="Arial"/>
        </w:rPr>
      </w:pPr>
      <w:hyperlink r:id="rId11" w:history="1">
        <w:r w:rsidR="00CA79C5" w:rsidRPr="00167C6D">
          <w:rPr>
            <w:rStyle w:val="Hyperlink"/>
            <w:rFonts w:ascii="Arial" w:hAnsi="Arial" w:cs="Arial"/>
          </w:rPr>
          <w:t>https://www.etsi.org/deliver/etsi_gr/IPE/001_099/012/01.01.01_60/gr_IPE012v010101p.pdf</w:t>
        </w:r>
      </w:hyperlink>
      <w:r w:rsidR="00CA79C5">
        <w:rPr>
          <w:rFonts w:ascii="Arial" w:hAnsi="Arial" w:cs="Arial"/>
        </w:rPr>
        <w:t xml:space="preserve"> </w:t>
      </w:r>
    </w:p>
    <w:p w14:paraId="6029628C" w14:textId="77777777" w:rsidR="00C52DEF" w:rsidRPr="00C52DEF" w:rsidRDefault="00C52DEF" w:rsidP="00A60B45">
      <w:pPr>
        <w:overflowPunct/>
        <w:autoSpaceDE/>
        <w:autoSpaceDN/>
        <w:adjustRightInd/>
        <w:textAlignment w:val="auto"/>
        <w:rPr>
          <w:rFonts w:ascii="Arial" w:hAnsi="Arial" w:cs="Arial"/>
        </w:rPr>
      </w:pPr>
    </w:p>
    <w:p w14:paraId="75560EE7" w14:textId="740919C1" w:rsidR="008C3FF0" w:rsidRPr="00C52DEF" w:rsidRDefault="008C3FF0" w:rsidP="008C3FF0">
      <w:pPr>
        <w:rPr>
          <w:rFonts w:ascii="Arial" w:hAnsi="Arial" w:cs="Arial"/>
        </w:rPr>
      </w:pPr>
      <w:r w:rsidRPr="00C52DEF">
        <w:rPr>
          <w:rFonts w:ascii="Arial" w:hAnsi="Arial" w:cs="Arial"/>
        </w:rPr>
        <w:t>Authored by nChain, the report outlines how IPv6 can be utilised by blockchain networks to secure direct peer-to-peer payments between end users, as well as the potential future role of IPv6 as vital infrastructure supporting the blockchain.</w:t>
      </w:r>
    </w:p>
    <w:p w14:paraId="01869780" w14:textId="77777777" w:rsidR="008C3FF0" w:rsidRPr="00C52DEF" w:rsidRDefault="008C3FF0" w:rsidP="008C3FF0">
      <w:pPr>
        <w:rPr>
          <w:rFonts w:ascii="Arial" w:hAnsi="Arial" w:cs="Arial"/>
        </w:rPr>
      </w:pPr>
      <w:r w:rsidRPr="00C52DEF">
        <w:rPr>
          <w:rFonts w:ascii="Arial" w:hAnsi="Arial" w:cs="Arial"/>
        </w:rPr>
        <w:t xml:space="preserve">Bitcoin introduced a breakthrough in peer-to-peer electronic cash and payments in 2008. This paradigm enabled payments to be sent inexpensively over the Internet, allowing peers to use IP addresses to communicate and transact directly between one another on the blockchain. </w:t>
      </w:r>
    </w:p>
    <w:p w14:paraId="236ECC6A" w14:textId="77777777" w:rsidR="008C3FF0" w:rsidRPr="00C52DEF" w:rsidRDefault="008C3FF0" w:rsidP="008C3FF0">
      <w:pPr>
        <w:rPr>
          <w:rFonts w:ascii="Arial" w:hAnsi="Arial" w:cs="Arial"/>
        </w:rPr>
      </w:pPr>
      <w:r w:rsidRPr="00C52DEF">
        <w:rPr>
          <w:rFonts w:ascii="Arial" w:hAnsi="Arial" w:cs="Arial"/>
        </w:rPr>
        <w:t>Despite its potential, this mechanism for direct payments using IP addresses was later deprecated due to contemporary vulnerabilities to attack that were associated with the IPv4-based Internet infrastructure of the time.</w:t>
      </w:r>
    </w:p>
    <w:p w14:paraId="6CA4B9DA" w14:textId="77777777" w:rsidR="008C3FF0" w:rsidRPr="00C52DEF" w:rsidRDefault="008C3FF0" w:rsidP="008C3FF0">
      <w:pPr>
        <w:rPr>
          <w:rFonts w:ascii="Arial" w:hAnsi="Arial" w:cs="Arial"/>
        </w:rPr>
      </w:pPr>
      <w:r w:rsidRPr="00C52DEF">
        <w:rPr>
          <w:rFonts w:ascii="Arial" w:hAnsi="Arial" w:cs="Arial"/>
        </w:rPr>
        <w:t>In this report, the model for peer-to-peer blockchain payments is revisited in the context of modern Internet protocols, such as DNSSEC and IPv6. An outline is given for how direct online payments can be reintroduced into the blockchain ecosystem by leveraging these secure modern technologies. In particular, the report outlines key-management strategies that can be used to link IPv6 addresses with blockchain payments to facilitate both online and offline exchanges of value.</w:t>
      </w:r>
    </w:p>
    <w:p w14:paraId="067AC025" w14:textId="77777777" w:rsidR="008C3FF0" w:rsidRPr="00C52DEF" w:rsidRDefault="008C3FF0" w:rsidP="008C3FF0">
      <w:pPr>
        <w:rPr>
          <w:rFonts w:ascii="Arial" w:hAnsi="Arial" w:cs="Arial"/>
        </w:rPr>
      </w:pPr>
      <w:r w:rsidRPr="00C52DEF">
        <w:rPr>
          <w:rFonts w:ascii="Arial" w:hAnsi="Arial" w:cs="Arial"/>
        </w:rPr>
        <w:t>The report further details a variety of applications that can be supported by the integration of IPv6 and cryptographically generated addresses (CGA) with blockchain. One such example is an on-chain private IP-to-IP messaging application.</w:t>
      </w:r>
    </w:p>
    <w:p w14:paraId="184E426B" w14:textId="77777777" w:rsidR="00C52DEF" w:rsidRDefault="008C3FF0" w:rsidP="008C3FF0">
      <w:pPr>
        <w:jc w:val="center"/>
        <w:rPr>
          <w:i/>
          <w:iCs/>
        </w:rPr>
      </w:pPr>
      <w:r>
        <w:rPr>
          <w:noProof/>
        </w:rPr>
        <w:lastRenderedPageBreak/>
        <w:drawing>
          <wp:inline distT="0" distB="0" distL="0" distR="0" wp14:anchorId="3E058898" wp14:editId="6F3A543D">
            <wp:extent cx="5734050" cy="2663825"/>
            <wp:effectExtent l="0" t="0" r="0" b="317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4050" cy="2663825"/>
                    </a:xfrm>
                    <a:prstGeom prst="rect">
                      <a:avLst/>
                    </a:prstGeom>
                    <a:noFill/>
                    <a:ln>
                      <a:noFill/>
                    </a:ln>
                  </pic:spPr>
                </pic:pic>
              </a:graphicData>
            </a:graphic>
          </wp:inline>
        </w:drawing>
      </w:r>
    </w:p>
    <w:p w14:paraId="2E2A0284" w14:textId="54E96180" w:rsidR="008C3FF0" w:rsidRPr="00C52DEF" w:rsidRDefault="008C3FF0" w:rsidP="008C3FF0">
      <w:pPr>
        <w:jc w:val="center"/>
        <w:rPr>
          <w:rFonts w:ascii="Arial" w:hAnsi="Arial" w:cs="Arial"/>
        </w:rPr>
      </w:pPr>
      <w:r w:rsidRPr="00C52DEF">
        <w:rPr>
          <w:rFonts w:ascii="Arial" w:hAnsi="Arial" w:cs="Arial"/>
          <w:i/>
          <w:iCs/>
        </w:rPr>
        <w:t>The on-chain data components of an example on-chain messaging scheme.</w:t>
      </w:r>
    </w:p>
    <w:p w14:paraId="6E69972A" w14:textId="77777777" w:rsidR="00C52DEF" w:rsidRDefault="00C52DEF" w:rsidP="008C3FF0"/>
    <w:p w14:paraId="1CAF48D6" w14:textId="28EBFBD8" w:rsidR="008C3FF0" w:rsidRDefault="008C3FF0" w:rsidP="008C3FF0">
      <w:pPr>
        <w:rPr>
          <w:rFonts w:ascii="Arial" w:hAnsi="Arial" w:cs="Arial"/>
        </w:rPr>
      </w:pPr>
      <w:r w:rsidRPr="00C52DEF">
        <w:rPr>
          <w:rFonts w:ascii="Arial" w:hAnsi="Arial" w:cs="Arial"/>
        </w:rPr>
        <w:t>The report shows how the properties of IPv6 lend themselves to new methods for constructing direct payments between Internet users, and how these same principles can be extended to new use cases for machine-to-machine and human-to-machine payments. In this way, blockchain networks are now able the to take full advantage of the expanded address space of IPv6 and the ability to associate payments with cryptographically-generated IPv6 addresses.</w:t>
      </w:r>
    </w:p>
    <w:p w14:paraId="0029679D" w14:textId="77777777" w:rsidR="00CA79C5" w:rsidRDefault="00CA79C5" w:rsidP="008C3FF0">
      <w:pPr>
        <w:rPr>
          <w:rFonts w:ascii="Arial" w:hAnsi="Arial" w:cs="Arial"/>
        </w:rPr>
      </w:pPr>
    </w:p>
    <w:p w14:paraId="224AC172" w14:textId="77777777" w:rsidR="00CA79C5" w:rsidRDefault="00000000" w:rsidP="00CA79C5">
      <w:pPr>
        <w:rPr>
          <w:rFonts w:ascii="Arial" w:hAnsi="Arial" w:cs="Arial"/>
          <w:b/>
        </w:rPr>
      </w:pPr>
      <w:hyperlink r:id="rId13" w:history="1">
        <w:r w:rsidR="00CA79C5" w:rsidRPr="00835223">
          <w:rPr>
            <w:rStyle w:val="Hyperlink"/>
            <w:rFonts w:ascii="Arial" w:hAnsi="Arial" w:cs="Arial"/>
            <w:b/>
          </w:rPr>
          <w:t>https://www.etsi.org/newsroom/news/2112-2022-08-etsi-releases-new-report-on-ipv6-based-blockchain</w:t>
        </w:r>
      </w:hyperlink>
      <w:r w:rsidR="00CA79C5">
        <w:rPr>
          <w:rFonts w:ascii="Arial" w:hAnsi="Arial" w:cs="Arial"/>
          <w:b/>
        </w:rPr>
        <w:t xml:space="preserve"> </w:t>
      </w:r>
    </w:p>
    <w:p w14:paraId="1364EFA8" w14:textId="77777777" w:rsidR="00CA79C5" w:rsidRPr="00C52DEF" w:rsidRDefault="00CA79C5" w:rsidP="008C3FF0">
      <w:pPr>
        <w:rPr>
          <w:rFonts w:ascii="Arial" w:hAnsi="Arial" w:cs="Arial"/>
        </w:rPr>
      </w:pPr>
    </w:p>
    <w:p w14:paraId="1B0CC558" w14:textId="77777777" w:rsidR="008C3FF0" w:rsidRDefault="008C3FF0" w:rsidP="00911477">
      <w:pPr>
        <w:rPr>
          <w:rFonts w:ascii="Arial" w:hAnsi="Arial" w:cs="Arial"/>
          <w:b/>
        </w:rPr>
      </w:pPr>
    </w:p>
    <w:p w14:paraId="23F53FCA" w14:textId="77777777" w:rsidR="00911477" w:rsidRDefault="00911477" w:rsidP="00911477">
      <w:pPr>
        <w:spacing w:after="120"/>
        <w:rPr>
          <w:rFonts w:ascii="Arial" w:hAnsi="Arial" w:cs="Arial"/>
          <w:b/>
        </w:rPr>
      </w:pPr>
      <w:r>
        <w:rPr>
          <w:rFonts w:ascii="Arial" w:hAnsi="Arial" w:cs="Arial"/>
          <w:b/>
        </w:rPr>
        <w:t>2. Actions:</w:t>
      </w:r>
    </w:p>
    <w:p w14:paraId="5C33BF46" w14:textId="77777777" w:rsidR="005C77DF" w:rsidRPr="00CA79C5" w:rsidRDefault="005C77DF" w:rsidP="005C77DF">
      <w:pPr>
        <w:rPr>
          <w:rFonts w:ascii="Arial" w:hAnsi="Arial" w:cs="Arial"/>
        </w:rPr>
      </w:pPr>
      <w:r w:rsidRPr="00CA79C5">
        <w:rPr>
          <w:rFonts w:ascii="Arial" w:hAnsi="Arial" w:cs="Arial"/>
        </w:rPr>
        <w:t>ISG IPE invite any interested parties to provide feedback.</w:t>
      </w:r>
    </w:p>
    <w:p w14:paraId="129CDB90" w14:textId="77777777" w:rsidR="00911477" w:rsidRDefault="00911477" w:rsidP="00911477">
      <w:pPr>
        <w:rPr>
          <w:rFonts w:ascii="Arial" w:hAnsi="Arial" w:cs="Arial"/>
          <w:b/>
          <w:sz w:val="24"/>
        </w:rPr>
      </w:pPr>
    </w:p>
    <w:p w14:paraId="269FD91D" w14:textId="77777777" w:rsidR="00911477" w:rsidRDefault="00911477" w:rsidP="00911477">
      <w:pPr>
        <w:spacing w:after="120"/>
        <w:rPr>
          <w:rFonts w:ascii="Arial" w:hAnsi="Arial" w:cs="Arial"/>
          <w:b/>
        </w:rPr>
      </w:pPr>
      <w:r>
        <w:rPr>
          <w:rFonts w:ascii="Arial" w:hAnsi="Arial" w:cs="Arial"/>
          <w:b/>
        </w:rPr>
        <w:t>3. Date of next meetings of the originator:</w:t>
      </w:r>
    </w:p>
    <w:p w14:paraId="7ABEFF6B" w14:textId="3439B2D5" w:rsidR="00F240D6" w:rsidRDefault="00F240D6" w:rsidP="007833A7">
      <w:pPr>
        <w:rPr>
          <w:rFonts w:ascii="Arial" w:hAnsi="Arial" w:cs="Arial"/>
        </w:rPr>
      </w:pPr>
      <w:r>
        <w:rPr>
          <w:rFonts w:ascii="Arial" w:hAnsi="Arial" w:cs="Arial"/>
        </w:rPr>
        <w:t>Rapporteurs#17 call:</w:t>
      </w:r>
      <w:r>
        <w:rPr>
          <w:rFonts w:ascii="Arial" w:hAnsi="Arial" w:cs="Arial"/>
        </w:rPr>
        <w:tab/>
        <w:t xml:space="preserve">  25 October 2022</w:t>
      </w:r>
      <w:r w:rsidR="00CD51D5">
        <w:rPr>
          <w:rFonts w:ascii="Arial" w:hAnsi="Arial" w:cs="Arial"/>
        </w:rPr>
        <w:t xml:space="preserve"> (online)</w:t>
      </w:r>
    </w:p>
    <w:p w14:paraId="1F008360" w14:textId="68B8AF8A" w:rsidR="008C3FF0" w:rsidRDefault="008C3FF0" w:rsidP="007833A7">
      <w:pPr>
        <w:rPr>
          <w:rFonts w:ascii="Arial" w:hAnsi="Arial" w:cs="Arial"/>
        </w:rPr>
      </w:pPr>
      <w:r>
        <w:rPr>
          <w:rFonts w:ascii="Arial" w:hAnsi="Arial" w:cs="Arial"/>
        </w:rPr>
        <w:t>IPE</w:t>
      </w:r>
      <w:r w:rsidR="00A60B45">
        <w:rPr>
          <w:rFonts w:ascii="Arial" w:hAnsi="Arial" w:cs="Arial"/>
        </w:rPr>
        <w:t>#09</w:t>
      </w:r>
      <w:r>
        <w:rPr>
          <w:rFonts w:ascii="Arial" w:hAnsi="Arial" w:cs="Arial"/>
        </w:rPr>
        <w:t xml:space="preserve"> Plenary Meeting: </w:t>
      </w:r>
      <w:r w:rsidR="00A60B45">
        <w:rPr>
          <w:rFonts w:ascii="Arial" w:hAnsi="Arial" w:cs="Arial"/>
        </w:rPr>
        <w:t xml:space="preserve">22 November </w:t>
      </w:r>
      <w:r w:rsidR="00CD51D5">
        <w:rPr>
          <w:rFonts w:ascii="Arial" w:hAnsi="Arial" w:cs="Arial"/>
        </w:rPr>
        <w:t>(</w:t>
      </w:r>
      <w:r w:rsidR="00A60B45">
        <w:rPr>
          <w:rFonts w:ascii="Arial" w:hAnsi="Arial" w:cs="Arial"/>
        </w:rPr>
        <w:t>online</w:t>
      </w:r>
      <w:r w:rsidR="00CD51D5">
        <w:rPr>
          <w:rFonts w:ascii="Arial" w:hAnsi="Arial" w:cs="Arial"/>
        </w:rPr>
        <w:t>)</w:t>
      </w:r>
    </w:p>
    <w:sectPr w:rsidR="008C3FF0"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4183C" w14:textId="77777777" w:rsidR="0055220F" w:rsidRDefault="0055220F" w:rsidP="00D9435B">
      <w:r>
        <w:separator/>
      </w:r>
    </w:p>
  </w:endnote>
  <w:endnote w:type="continuationSeparator" w:id="0">
    <w:p w14:paraId="06CE711D" w14:textId="77777777" w:rsidR="0055220F" w:rsidRDefault="0055220F"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9BD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5A902" w14:textId="77777777" w:rsidR="0055220F" w:rsidRDefault="0055220F" w:rsidP="00D9435B">
      <w:r>
        <w:separator/>
      </w:r>
    </w:p>
  </w:footnote>
  <w:footnote w:type="continuationSeparator" w:id="0">
    <w:p w14:paraId="13B5A5D9" w14:textId="77777777" w:rsidR="0055220F" w:rsidRDefault="0055220F"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CC040" w14:textId="77777777"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12EE2C57" wp14:editId="5627C944">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IPE(22)000062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6628226">
    <w:abstractNumId w:val="13"/>
  </w:num>
  <w:num w:numId="2" w16cid:durableId="1844123311">
    <w:abstractNumId w:val="20"/>
  </w:num>
  <w:num w:numId="3" w16cid:durableId="1660500744">
    <w:abstractNumId w:val="7"/>
  </w:num>
  <w:num w:numId="4" w16cid:durableId="771782969">
    <w:abstractNumId w:val="18"/>
  </w:num>
  <w:num w:numId="5" w16cid:durableId="874198772">
    <w:abstractNumId w:val="15"/>
  </w:num>
  <w:num w:numId="6" w16cid:durableId="533882090">
    <w:abstractNumId w:val="6"/>
  </w:num>
  <w:num w:numId="7" w16cid:durableId="1028947247">
    <w:abstractNumId w:val="4"/>
  </w:num>
  <w:num w:numId="8" w16cid:durableId="1867137255">
    <w:abstractNumId w:val="3"/>
  </w:num>
  <w:num w:numId="9" w16cid:durableId="415175295">
    <w:abstractNumId w:val="2"/>
  </w:num>
  <w:num w:numId="10" w16cid:durableId="942227956">
    <w:abstractNumId w:val="1"/>
  </w:num>
  <w:num w:numId="11" w16cid:durableId="5133955">
    <w:abstractNumId w:val="5"/>
  </w:num>
  <w:num w:numId="12" w16cid:durableId="1449617552">
    <w:abstractNumId w:val="0"/>
  </w:num>
  <w:num w:numId="13" w16cid:durableId="2034989141">
    <w:abstractNumId w:val="19"/>
  </w:num>
  <w:num w:numId="14" w16cid:durableId="461460155">
    <w:abstractNumId w:val="8"/>
  </w:num>
  <w:num w:numId="15" w16cid:durableId="1508867729">
    <w:abstractNumId w:val="11"/>
  </w:num>
  <w:num w:numId="16" w16cid:durableId="1616209537">
    <w:abstractNumId w:val="17"/>
  </w:num>
  <w:num w:numId="17" w16cid:durableId="937371210">
    <w:abstractNumId w:val="10"/>
  </w:num>
  <w:num w:numId="18" w16cid:durableId="1629359984">
    <w:abstractNumId w:val="14"/>
  </w:num>
  <w:num w:numId="19" w16cid:durableId="2001880859">
    <w:abstractNumId w:val="12"/>
  </w:num>
  <w:num w:numId="20" w16cid:durableId="2070764170">
    <w:abstractNumId w:val="16"/>
  </w:num>
  <w:num w:numId="21" w16cid:durableId="1263494320">
    <w:abstractNumId w:val="9"/>
  </w:num>
  <w:num w:numId="22" w16cid:durableId="9530532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71482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9516393">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428F"/>
    <w:rsid w:val="0002568A"/>
    <w:rsid w:val="000C4CB6"/>
    <w:rsid w:val="00181471"/>
    <w:rsid w:val="00191D22"/>
    <w:rsid w:val="001C30D5"/>
    <w:rsid w:val="00216D13"/>
    <w:rsid w:val="002236CE"/>
    <w:rsid w:val="002676F5"/>
    <w:rsid w:val="00297B33"/>
    <w:rsid w:val="002F5958"/>
    <w:rsid w:val="003050B4"/>
    <w:rsid w:val="003214E4"/>
    <w:rsid w:val="003354CE"/>
    <w:rsid w:val="0036058F"/>
    <w:rsid w:val="003D5716"/>
    <w:rsid w:val="004050E6"/>
    <w:rsid w:val="004124A2"/>
    <w:rsid w:val="00451D22"/>
    <w:rsid w:val="004950B1"/>
    <w:rsid w:val="004D1743"/>
    <w:rsid w:val="00503C30"/>
    <w:rsid w:val="00516885"/>
    <w:rsid w:val="00521B98"/>
    <w:rsid w:val="00551F4D"/>
    <w:rsid w:val="0055220F"/>
    <w:rsid w:val="00571482"/>
    <w:rsid w:val="00575432"/>
    <w:rsid w:val="005B115B"/>
    <w:rsid w:val="005C77DF"/>
    <w:rsid w:val="005F3ECE"/>
    <w:rsid w:val="006017EC"/>
    <w:rsid w:val="00610CBA"/>
    <w:rsid w:val="00620AA5"/>
    <w:rsid w:val="00631480"/>
    <w:rsid w:val="00681BAD"/>
    <w:rsid w:val="00704C3A"/>
    <w:rsid w:val="00723463"/>
    <w:rsid w:val="00745E27"/>
    <w:rsid w:val="00776B64"/>
    <w:rsid w:val="007833A7"/>
    <w:rsid w:val="007A3763"/>
    <w:rsid w:val="007F05C7"/>
    <w:rsid w:val="00832E39"/>
    <w:rsid w:val="0083399D"/>
    <w:rsid w:val="00842069"/>
    <w:rsid w:val="0084740A"/>
    <w:rsid w:val="008629A9"/>
    <w:rsid w:val="008745A4"/>
    <w:rsid w:val="00887234"/>
    <w:rsid w:val="008C3FF0"/>
    <w:rsid w:val="008D5477"/>
    <w:rsid w:val="0091037B"/>
    <w:rsid w:val="00911477"/>
    <w:rsid w:val="00912D71"/>
    <w:rsid w:val="00913CAE"/>
    <w:rsid w:val="00993435"/>
    <w:rsid w:val="009F0351"/>
    <w:rsid w:val="00A60B45"/>
    <w:rsid w:val="00A61734"/>
    <w:rsid w:val="00AB7F99"/>
    <w:rsid w:val="00B22603"/>
    <w:rsid w:val="00B23950"/>
    <w:rsid w:val="00B703A5"/>
    <w:rsid w:val="00B837B4"/>
    <w:rsid w:val="00B948AC"/>
    <w:rsid w:val="00BB5244"/>
    <w:rsid w:val="00BE7AFE"/>
    <w:rsid w:val="00C04D8B"/>
    <w:rsid w:val="00C15BAD"/>
    <w:rsid w:val="00C52DEF"/>
    <w:rsid w:val="00C574E7"/>
    <w:rsid w:val="00C67710"/>
    <w:rsid w:val="00C76D35"/>
    <w:rsid w:val="00CA135C"/>
    <w:rsid w:val="00CA79C5"/>
    <w:rsid w:val="00CB128B"/>
    <w:rsid w:val="00CC0049"/>
    <w:rsid w:val="00CD51D5"/>
    <w:rsid w:val="00D9435B"/>
    <w:rsid w:val="00DA185D"/>
    <w:rsid w:val="00DA65AB"/>
    <w:rsid w:val="00DD314A"/>
    <w:rsid w:val="00DE4DB9"/>
    <w:rsid w:val="00DF6ED5"/>
    <w:rsid w:val="00E00EF0"/>
    <w:rsid w:val="00E03912"/>
    <w:rsid w:val="00E06E1E"/>
    <w:rsid w:val="00EA0019"/>
    <w:rsid w:val="00EB16B6"/>
    <w:rsid w:val="00EB1C87"/>
    <w:rsid w:val="00EE7092"/>
    <w:rsid w:val="00EF607B"/>
    <w:rsid w:val="00F11466"/>
    <w:rsid w:val="00F12615"/>
    <w:rsid w:val="00F240D6"/>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DB7BE"/>
  <w15:docId w15:val="{C079097E-BC88-4333-89F2-2A44F8A3B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FF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5754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8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tif.ladid@uni.lu" TargetMode="External"/><Relationship Id="rId13" Type="http://schemas.openxmlformats.org/officeDocument/2006/relationships/hyperlink" Target="https://www.etsi.org/newsroom/news/2112-2022-08-etsi-releases-new-report-on-ipv6-based-blockcha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gr/IPE/001_099/012/01.01.01_60/gr_IPE012v010101p.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SGsupport@etsi.org" TargetMode="External"/><Relationship Id="rId4" Type="http://schemas.openxmlformats.org/officeDocument/2006/relationships/settings" Target="settings.xml"/><Relationship Id="rId9" Type="http://schemas.openxmlformats.org/officeDocument/2006/relationships/hyperlink" Target="mailto:j.davies@nchain.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544</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IPE(22)000062 - LS OUT: Announcing publication IPE-012</vt:lpstr>
    </vt:vector>
  </TitlesOfParts>
  <Company>ETSI</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IPE(22)000062 - LS OUT: Announcing publication IPE-012</dc:title>
  <dc:creator>SnT - University of Luxembourg</dc:creator>
  <dc:description>20110621 - Template upated:1- L&amp;R margins set to 2cm 2-Header table left indent set to 0</dc:description>
  <cp:lastModifiedBy>Louise Clarke</cp:lastModifiedBy>
  <cp:revision>8</cp:revision>
  <cp:lastPrinted>2010-12-06T15:51:00Z</cp:lastPrinted>
  <dcterms:created xsi:type="dcterms:W3CDTF">2022-09-01T07:27:00Z</dcterms:created>
  <dcterms:modified xsi:type="dcterms:W3CDTF">2022-09-08T09:05:00Z</dcterms:modified>
</cp:coreProperties>
</file>